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CA3013" w:rsidP="00E30161">
      <w:pPr>
        <w:spacing w:line="480" w:lineRule="auto"/>
        <w:jc w:val="center"/>
        <w:rPr>
          <w:rFonts w:ascii="Times New Roman" w:hAnsi="Times New Roman" w:cs="Times New Roman"/>
          <w:sz w:val="24"/>
          <w:szCs w:val="24"/>
        </w:rPr>
      </w:pPr>
      <w:r>
        <w:rPr>
          <w:rFonts w:ascii="Times New Roman" w:hAnsi="Times New Roman" w:cs="Times New Roman"/>
          <w:sz w:val="24"/>
          <w:szCs w:val="24"/>
        </w:rPr>
        <w:t>Emerging Markets: Giordano Company</w:t>
      </w:r>
    </w:p>
    <w:p w:rsidR="00E30161" w:rsidRDefault="00E30161" w:rsidP="00E3016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0161" w:rsidRDefault="00E30161" w:rsidP="00E301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E30161" w:rsidRDefault="00E30161" w:rsidP="00294051">
      <w:pPr>
        <w:spacing w:line="480" w:lineRule="auto"/>
        <w:rPr>
          <w:rFonts w:ascii="Times New Roman" w:hAnsi="Times New Roman" w:cs="Times New Roman"/>
          <w:sz w:val="24"/>
          <w:szCs w:val="24"/>
        </w:rPr>
      </w:pPr>
    </w:p>
    <w:p w:rsidR="00C6366F" w:rsidRDefault="00CA3013" w:rsidP="0029405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Emerging Markets: Giordano</w:t>
      </w:r>
      <w:r w:rsidR="004863EA">
        <w:rPr>
          <w:rFonts w:ascii="Times New Roman" w:hAnsi="Times New Roman" w:cs="Times New Roman"/>
          <w:sz w:val="24"/>
          <w:szCs w:val="24"/>
        </w:rPr>
        <w:t xml:space="preserve"> Company</w:t>
      </w:r>
    </w:p>
    <w:p w:rsidR="00037B3F" w:rsidRPr="00E30161" w:rsidRDefault="00037B3F" w:rsidP="00E30161">
      <w:pPr>
        <w:spacing w:line="480" w:lineRule="auto"/>
        <w:jc w:val="center"/>
        <w:rPr>
          <w:rFonts w:ascii="Times New Roman" w:hAnsi="Times New Roman" w:cs="Times New Roman"/>
          <w:b/>
          <w:sz w:val="24"/>
          <w:szCs w:val="24"/>
        </w:rPr>
      </w:pPr>
      <w:r w:rsidRPr="00E30161">
        <w:rPr>
          <w:rFonts w:ascii="Times New Roman" w:hAnsi="Times New Roman" w:cs="Times New Roman"/>
          <w:b/>
          <w:sz w:val="24"/>
          <w:szCs w:val="24"/>
        </w:rPr>
        <w:t>Introduction and Corporate Social Responsibility</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fully</w:t>
      </w:r>
      <w:r w:rsidR="00E30161">
        <w:rPr>
          <w:rFonts w:ascii="Times New Roman" w:hAnsi="Times New Roman" w:cs="Times New Roman"/>
          <w:sz w:val="24"/>
          <w:szCs w:val="24"/>
        </w:rPr>
        <w:t xml:space="preserve"> customer responsive (Giordano 2019</w:t>
      </w:r>
      <w:r w:rsidRPr="00037B3F">
        <w:rPr>
          <w:rFonts w:ascii="Times New Roman" w:hAnsi="Times New Roman" w:cs="Times New Roman"/>
          <w:sz w:val="24"/>
          <w:szCs w:val="24"/>
        </w:rPr>
        <w: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Giordano commits to be a responsible and successful corporate citizen. It is committed to developing positive impacts wherever it transacts business, and also in making sure that the customers only get quality goods and services, and finally a sustainable and robust shareholder’s financial performance. It aims to achieve this by assisting charitable organizations and similar causes. It ensures that the employees in the production sector are treated fairly and respectfully, aiming to at all times achieve the set goals via means that are environmental friendly.</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The social responsibility statement (CSR) of Giordano is a simple and short statement. It includes its values, expectations, and purposes. The report helps the foundation to track and improve performance. The performance is enhanced according to the local laws and regulation changes, risk assessments, and trade practices. The company has supported various community projects and causes, and this has made it receive certificates and plaques.</w:t>
      </w:r>
      <w:r w:rsidR="00E30161">
        <w:rPr>
          <w:rFonts w:ascii="Times New Roman" w:hAnsi="Times New Roman" w:cs="Times New Roman"/>
          <w:sz w:val="24"/>
          <w:szCs w:val="24"/>
        </w:rPr>
        <w:t xml:space="preserve"> According to Giordano’s website (2019) </w:t>
      </w:r>
      <w:r w:rsidRPr="00037B3F">
        <w:rPr>
          <w:rFonts w:ascii="Times New Roman" w:hAnsi="Times New Roman" w:cs="Times New Roman"/>
          <w:sz w:val="24"/>
          <w:szCs w:val="24"/>
        </w:rPr>
        <w:t>t</w:t>
      </w:r>
      <w:r w:rsidR="00E30161">
        <w:rPr>
          <w:rFonts w:ascii="Times New Roman" w:hAnsi="Times New Roman" w:cs="Times New Roman"/>
          <w:sz w:val="24"/>
          <w:szCs w:val="24"/>
        </w:rPr>
        <w:t>he company</w:t>
      </w:r>
      <w:r w:rsidRPr="00037B3F">
        <w:rPr>
          <w:rFonts w:ascii="Times New Roman" w:hAnsi="Times New Roman" w:cs="Times New Roman"/>
          <w:sz w:val="24"/>
          <w:szCs w:val="24"/>
        </w:rPr>
        <w:t xml:space="preserve"> has a slogan of living in ‘world without strangers’ and has already launched numerous initiatives all over the globe to help victims of natural disasters and also assisting in support of </w:t>
      </w:r>
      <w:r w:rsidR="00E30161">
        <w:rPr>
          <w:rFonts w:ascii="Times New Roman" w:hAnsi="Times New Roman" w:cs="Times New Roman"/>
          <w:sz w:val="24"/>
          <w:szCs w:val="24"/>
        </w:rPr>
        <w:t>health organizations</w:t>
      </w:r>
      <w:r w:rsidRPr="00037B3F">
        <w:rPr>
          <w:rFonts w:ascii="Times New Roman" w:hAnsi="Times New Roman" w:cs="Times New Roman"/>
          <w:sz w:val="24"/>
          <w:szCs w:val="24"/>
        </w:rPr>
        <w:t xml:space="preserve">. The summary of its CSR statement is non-discrimination in treating all employees equally, safe and healthy employee environment, ensuring environmental friendly business activities, positively impacting the communities where </w:t>
      </w:r>
      <w:r w:rsidRPr="00037B3F">
        <w:rPr>
          <w:rFonts w:ascii="Times New Roman" w:hAnsi="Times New Roman" w:cs="Times New Roman"/>
          <w:sz w:val="24"/>
          <w:szCs w:val="24"/>
        </w:rPr>
        <w:lastRenderedPageBreak/>
        <w:t>it conducts business, and ethical sourcing (working with only the suppliers with similar principles and values).</w:t>
      </w:r>
    </w:p>
    <w:p w:rsidR="00037B3F" w:rsidRPr="00E30161" w:rsidRDefault="00037B3F" w:rsidP="00E30161">
      <w:pPr>
        <w:spacing w:line="480" w:lineRule="auto"/>
        <w:jc w:val="center"/>
        <w:rPr>
          <w:rFonts w:ascii="Times New Roman" w:hAnsi="Times New Roman" w:cs="Times New Roman"/>
          <w:b/>
          <w:sz w:val="24"/>
          <w:szCs w:val="24"/>
        </w:rPr>
      </w:pPr>
      <w:r w:rsidRPr="00E30161">
        <w:rPr>
          <w:rFonts w:ascii="Times New Roman" w:hAnsi="Times New Roman" w:cs="Times New Roman"/>
          <w:b/>
          <w:sz w:val="24"/>
          <w:szCs w:val="24"/>
        </w:rPr>
        <w:t>The contribution of CSR to the success of the company</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Corporate social responsibility (CSR) is a managerial obligation to act on improving and protecting society’s welfare and also the company’s interests. It guides a company on how to benefit from practicing it. It ensures that the business does not go beyond the ethical boundaries as it contributes to the development of the economy and at the same time improving the employees’ life quality and that of their families. CSR relates to reputation, customer satisfaction, and employee turnover.</w:t>
      </w:r>
    </w:p>
    <w:p w:rsidR="00037B3F" w:rsidRPr="00E30161" w:rsidRDefault="00037B3F" w:rsidP="00037B3F">
      <w:pPr>
        <w:spacing w:line="480" w:lineRule="auto"/>
        <w:rPr>
          <w:rFonts w:ascii="Times New Roman" w:hAnsi="Times New Roman" w:cs="Times New Roman"/>
          <w:b/>
          <w:sz w:val="24"/>
          <w:szCs w:val="24"/>
        </w:rPr>
      </w:pPr>
      <w:r w:rsidRPr="00E30161">
        <w:rPr>
          <w:rFonts w:ascii="Times New Roman" w:hAnsi="Times New Roman" w:cs="Times New Roman"/>
          <w:b/>
          <w:sz w:val="24"/>
          <w:szCs w:val="24"/>
        </w:rPr>
        <w:t>CSR and Employee Turnover</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Employees are the asset that is most valuable in any company or firm, and its ability to retain its employees can measure the success of a company. It demonstrates that the company is a valued workplace, and it also has positive effects on the financial performance of the company and even its productivity. The employers are therefore after activities and mechanisms that will aid in reducing the </w:t>
      </w:r>
      <w:r w:rsidR="00717E6E">
        <w:rPr>
          <w:rFonts w:ascii="Times New Roman" w:hAnsi="Times New Roman" w:cs="Times New Roman"/>
          <w:sz w:val="24"/>
          <w:szCs w:val="24"/>
        </w:rPr>
        <w:t>employee turnover (</w:t>
      </w:r>
      <w:proofErr w:type="spellStart"/>
      <w:r w:rsidR="00717E6E">
        <w:rPr>
          <w:rFonts w:ascii="Times New Roman" w:hAnsi="Times New Roman" w:cs="Times New Roman"/>
          <w:sz w:val="24"/>
          <w:szCs w:val="24"/>
        </w:rPr>
        <w:t>Galbreath</w:t>
      </w:r>
      <w:proofErr w:type="spellEnd"/>
      <w:r w:rsidR="00717E6E">
        <w:rPr>
          <w:rFonts w:ascii="Times New Roman" w:hAnsi="Times New Roman" w:cs="Times New Roman"/>
          <w:sz w:val="24"/>
          <w:szCs w:val="24"/>
        </w:rPr>
        <w:t xml:space="preserve">, </w:t>
      </w:r>
      <w:r w:rsidR="00833F37">
        <w:rPr>
          <w:rFonts w:ascii="Times New Roman" w:hAnsi="Times New Roman" w:cs="Times New Roman"/>
          <w:sz w:val="24"/>
          <w:szCs w:val="24"/>
        </w:rPr>
        <w:t>2010</w:t>
      </w:r>
      <w:r w:rsidRPr="00037B3F">
        <w:rPr>
          <w:rFonts w:ascii="Times New Roman" w:hAnsi="Times New Roman" w:cs="Times New Roman"/>
          <w:sz w:val="24"/>
          <w:szCs w:val="24"/>
        </w:rPr>
        <w:t xml:space="preserve">). The companies that demonstrate CSR proactively are in a better position to diminish employee turnover, and Giordano is an example. </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proofErr w:type="spellStart"/>
      <w:r w:rsidR="00833F37">
        <w:rPr>
          <w:rFonts w:ascii="Times New Roman" w:hAnsi="Times New Roman" w:cs="Times New Roman"/>
          <w:sz w:val="24"/>
          <w:szCs w:val="24"/>
        </w:rPr>
        <w:t>Garbreath</w:t>
      </w:r>
      <w:proofErr w:type="spellEnd"/>
      <w:r w:rsidR="00833F37">
        <w:rPr>
          <w:rFonts w:ascii="Times New Roman" w:hAnsi="Times New Roman" w:cs="Times New Roman"/>
          <w:sz w:val="24"/>
          <w:szCs w:val="24"/>
        </w:rPr>
        <w:t xml:space="preserve"> (2010) argues that e</w:t>
      </w:r>
      <w:r w:rsidRPr="00037B3F">
        <w:rPr>
          <w:rFonts w:ascii="Times New Roman" w:hAnsi="Times New Roman" w:cs="Times New Roman"/>
          <w:sz w:val="24"/>
          <w:szCs w:val="24"/>
        </w:rPr>
        <w:t>mployees obtain general justice perceptions of companies according to the fairness demonstrate</w:t>
      </w:r>
      <w:r w:rsidR="00833F37">
        <w:rPr>
          <w:rFonts w:ascii="Times New Roman" w:hAnsi="Times New Roman" w:cs="Times New Roman"/>
          <w:sz w:val="24"/>
          <w:szCs w:val="24"/>
        </w:rPr>
        <w:t>d by the company</w:t>
      </w:r>
      <w:r w:rsidRPr="00037B3F">
        <w:rPr>
          <w:rFonts w:ascii="Times New Roman" w:hAnsi="Times New Roman" w:cs="Times New Roman"/>
          <w:sz w:val="24"/>
          <w:szCs w:val="24"/>
        </w:rPr>
        <w:t xml:space="preserve">. Fair working environments affect the well-being of the employees positively. The well-being of the employees, in turn, will result in higher employee commitment, affecting the organizational results positively. CSR shows concern for both external and internal stakeholders so that the company exhibits fairness in what it does through socially responsible activities. Demonstrating fairness could impact the turnover </w:t>
      </w:r>
      <w:r w:rsidRPr="00037B3F">
        <w:rPr>
          <w:rFonts w:ascii="Times New Roman" w:hAnsi="Times New Roman" w:cs="Times New Roman"/>
          <w:sz w:val="24"/>
          <w:szCs w:val="24"/>
        </w:rPr>
        <w:lastRenderedPageBreak/>
        <w:t>levels of the employees, making them stay in the company. Justice perceptions help the employees have frameworks that use ethics in guiding the decisions they make. CSR, therefore, diminishes the employee turnover in Giordano Company.</w:t>
      </w:r>
    </w:p>
    <w:p w:rsidR="00037B3F" w:rsidRPr="00E30161" w:rsidRDefault="00037B3F" w:rsidP="00037B3F">
      <w:pPr>
        <w:spacing w:line="480" w:lineRule="auto"/>
        <w:rPr>
          <w:rFonts w:ascii="Times New Roman" w:hAnsi="Times New Roman" w:cs="Times New Roman"/>
          <w:b/>
          <w:sz w:val="24"/>
          <w:szCs w:val="24"/>
        </w:rPr>
      </w:pPr>
      <w:r w:rsidRPr="00E30161">
        <w:rPr>
          <w:rFonts w:ascii="Times New Roman" w:hAnsi="Times New Roman" w:cs="Times New Roman"/>
          <w:b/>
          <w:sz w:val="24"/>
          <w:szCs w:val="24"/>
        </w:rPr>
        <w:t>CSR and Customer Satisfaction</w:t>
      </w:r>
    </w:p>
    <w:p w:rsidR="00037B3F" w:rsidRPr="00037B3F" w:rsidRDefault="00037B3F" w:rsidP="00717E6E">
      <w:pPr>
        <w:spacing w:line="480" w:lineRule="auto"/>
        <w:ind w:firstLine="720"/>
        <w:rPr>
          <w:rFonts w:ascii="Times New Roman" w:hAnsi="Times New Roman" w:cs="Times New Roman"/>
          <w:sz w:val="24"/>
          <w:szCs w:val="24"/>
        </w:rPr>
      </w:pPr>
      <w:r w:rsidRPr="00037B3F">
        <w:rPr>
          <w:rFonts w:ascii="Times New Roman" w:hAnsi="Times New Roman" w:cs="Times New Roman"/>
          <w:sz w:val="24"/>
          <w:szCs w:val="24"/>
        </w:rPr>
        <w:t>Customer satisfaction is based on experiences with the company over time. It is a basic indicator of the past, present and future company performance. Having a higher customer satisfaction rate is, therefore, a fundamental goal of every company, a vital focus of corporate strategy. Equity theory is applied in exploring the link of CSR- cust</w:t>
      </w:r>
      <w:r w:rsidR="00833F37">
        <w:rPr>
          <w:rFonts w:ascii="Times New Roman" w:hAnsi="Times New Roman" w:cs="Times New Roman"/>
          <w:sz w:val="24"/>
          <w:szCs w:val="24"/>
        </w:rPr>
        <w:t>omer satisfaction (</w:t>
      </w:r>
      <w:proofErr w:type="spellStart"/>
      <w:r w:rsidR="00833F37">
        <w:rPr>
          <w:rFonts w:ascii="Times New Roman" w:hAnsi="Times New Roman" w:cs="Times New Roman"/>
          <w:sz w:val="24"/>
          <w:szCs w:val="24"/>
        </w:rPr>
        <w:t>Galbreath</w:t>
      </w:r>
      <w:proofErr w:type="spellEnd"/>
      <w:r w:rsidR="00833F37">
        <w:rPr>
          <w:rFonts w:ascii="Times New Roman" w:hAnsi="Times New Roman" w:cs="Times New Roman"/>
          <w:sz w:val="24"/>
          <w:szCs w:val="24"/>
        </w:rPr>
        <w:t xml:space="preserve"> 2010)</w:t>
      </w:r>
      <w:r w:rsidRPr="00037B3F">
        <w:rPr>
          <w:rFonts w:ascii="Times New Roman" w:hAnsi="Times New Roman" w:cs="Times New Roman"/>
          <w:sz w:val="24"/>
          <w:szCs w:val="24"/>
        </w:rPr>
        <w:t>. Equity theory concentrates on rightness, deservedness, or fairness judgments that people make while referring to what is received by one party or the other. If customers feel that they have been treated with equality, they are satisfied. CSR is there to demonstrate customer equity, and Giordano Company should maximize the use of CSR, it is associated with the satisfactio</w:t>
      </w:r>
      <w:r w:rsidR="00833F37">
        <w:rPr>
          <w:rFonts w:ascii="Times New Roman" w:hAnsi="Times New Roman" w:cs="Times New Roman"/>
          <w:sz w:val="24"/>
          <w:szCs w:val="24"/>
        </w:rPr>
        <w:t>n of the customer (</w:t>
      </w:r>
      <w:proofErr w:type="spellStart"/>
      <w:r w:rsidR="00833F37">
        <w:rPr>
          <w:rFonts w:ascii="Times New Roman" w:hAnsi="Times New Roman" w:cs="Times New Roman"/>
          <w:sz w:val="24"/>
          <w:szCs w:val="24"/>
        </w:rPr>
        <w:t>Galbreath</w:t>
      </w:r>
      <w:proofErr w:type="spellEnd"/>
      <w:r w:rsidR="00717E6E">
        <w:rPr>
          <w:rFonts w:ascii="Times New Roman" w:hAnsi="Times New Roman" w:cs="Times New Roman"/>
          <w:sz w:val="24"/>
          <w:szCs w:val="24"/>
        </w:rPr>
        <w:t>,</w:t>
      </w:r>
      <w:r w:rsidR="00833F37">
        <w:rPr>
          <w:rFonts w:ascii="Times New Roman" w:hAnsi="Times New Roman" w:cs="Times New Roman"/>
          <w:sz w:val="24"/>
          <w:szCs w:val="24"/>
        </w:rPr>
        <w:t xml:space="preserve"> 2010</w:t>
      </w:r>
      <w:r w:rsidRPr="00037B3F">
        <w:rPr>
          <w:rFonts w:ascii="Times New Roman" w:hAnsi="Times New Roman" w:cs="Times New Roman"/>
          <w:sz w:val="24"/>
          <w:szCs w:val="24"/>
        </w:rPr>
        <w:t>).</w:t>
      </w:r>
      <w:r w:rsidR="00833F37">
        <w:rPr>
          <w:rFonts w:ascii="Times New Roman" w:hAnsi="Times New Roman" w:cs="Times New Roman"/>
          <w:sz w:val="24"/>
          <w:szCs w:val="24"/>
        </w:rPr>
        <w:t xml:space="preserve"> If Giordano follows its CSR to the letter, then it will be able to satisfy all its customers and therefore increasing its customer base, every customer will be satisfied by the quality of their goods and services. </w:t>
      </w:r>
      <w:r w:rsidR="00CA3013">
        <w:rPr>
          <w:rFonts w:ascii="Times New Roman" w:hAnsi="Times New Roman" w:cs="Times New Roman"/>
          <w:sz w:val="24"/>
          <w:szCs w:val="24"/>
        </w:rPr>
        <w:t xml:space="preserve">Making a customer feel satisfied is the first step towards success of any company, and Giordano is not an </w:t>
      </w:r>
      <w:proofErr w:type="spellStart"/>
      <w:r w:rsidR="00CA3013">
        <w:rPr>
          <w:rFonts w:ascii="Times New Roman" w:hAnsi="Times New Roman" w:cs="Times New Roman"/>
          <w:sz w:val="24"/>
          <w:szCs w:val="24"/>
        </w:rPr>
        <w:t>exeption</w:t>
      </w:r>
      <w:proofErr w:type="spellEnd"/>
      <w:r w:rsidR="00CA3013">
        <w:rPr>
          <w:rFonts w:ascii="Times New Roman" w:hAnsi="Times New Roman" w:cs="Times New Roman"/>
          <w:sz w:val="24"/>
          <w:szCs w:val="24"/>
        </w:rPr>
        <w:t>.</w:t>
      </w:r>
    </w:p>
    <w:p w:rsidR="00037B3F" w:rsidRPr="00E30161" w:rsidRDefault="00037B3F" w:rsidP="00037B3F">
      <w:pPr>
        <w:spacing w:line="480" w:lineRule="auto"/>
        <w:rPr>
          <w:rFonts w:ascii="Times New Roman" w:hAnsi="Times New Roman" w:cs="Times New Roman"/>
          <w:b/>
          <w:sz w:val="24"/>
          <w:szCs w:val="24"/>
        </w:rPr>
      </w:pPr>
      <w:r w:rsidRPr="00E30161">
        <w:rPr>
          <w:rFonts w:ascii="Times New Roman" w:hAnsi="Times New Roman" w:cs="Times New Roman"/>
          <w:b/>
          <w:sz w:val="24"/>
          <w:szCs w:val="24"/>
        </w:rPr>
        <w:t>CSR and Reputation</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Reputation shows that the company is well regarded and is highly esteemed. It is the assessment of the ‘outsiders’ about what the company is, and how well it satisfies its commitments and sticks to the expectations of the stakeholders, and finally how effective its performance overall fits with the socio-political environment. It is the extent to which the stakeholders view the company as good or not bad. Giordano Company has a good reputation, </w:t>
      </w:r>
      <w:r w:rsidRPr="00037B3F">
        <w:rPr>
          <w:rFonts w:ascii="Times New Roman" w:hAnsi="Times New Roman" w:cs="Times New Roman"/>
          <w:sz w:val="24"/>
          <w:szCs w:val="24"/>
        </w:rPr>
        <w:lastRenderedPageBreak/>
        <w:t>and that is why it has grown greatly. A positive reputation is, therefore, a fundamental asset for any business seeking growth and expansion, so that it can be able to cope with the ever-increasing competition from similar companies in the industry. A well implemented CSR provides signals that are visible, and the stakeholders use these signals to obtain different positive characteristics of the company. CSR is, therefore, a key mechanism in building the reputation of any company</w:t>
      </w:r>
      <w:r w:rsidR="00833F37">
        <w:rPr>
          <w:rFonts w:ascii="Times New Roman" w:hAnsi="Times New Roman" w:cs="Times New Roman"/>
          <w:sz w:val="24"/>
          <w:szCs w:val="24"/>
        </w:rPr>
        <w:t xml:space="preserve"> (</w:t>
      </w:r>
      <w:proofErr w:type="spellStart"/>
      <w:r w:rsidR="00833F37">
        <w:rPr>
          <w:rFonts w:ascii="Times New Roman" w:hAnsi="Times New Roman" w:cs="Times New Roman"/>
          <w:sz w:val="24"/>
          <w:szCs w:val="24"/>
        </w:rPr>
        <w:t>Galbreath</w:t>
      </w:r>
      <w:proofErr w:type="spellEnd"/>
      <w:r w:rsidR="00717E6E">
        <w:rPr>
          <w:rFonts w:ascii="Times New Roman" w:hAnsi="Times New Roman" w:cs="Times New Roman"/>
          <w:sz w:val="24"/>
          <w:szCs w:val="24"/>
        </w:rPr>
        <w:t>,</w:t>
      </w:r>
      <w:r w:rsidR="00833F37">
        <w:rPr>
          <w:rFonts w:ascii="Times New Roman" w:hAnsi="Times New Roman" w:cs="Times New Roman"/>
          <w:sz w:val="24"/>
          <w:szCs w:val="24"/>
        </w:rPr>
        <w:t xml:space="preserve"> 2010</w:t>
      </w:r>
      <w:r w:rsidRPr="00037B3F">
        <w:rPr>
          <w:rFonts w:ascii="Times New Roman" w:hAnsi="Times New Roman" w:cs="Times New Roman"/>
          <w:sz w:val="24"/>
          <w:szCs w:val="24"/>
        </w:rPr>
        <w:t>).</w:t>
      </w:r>
    </w:p>
    <w:p w:rsidR="00037B3F" w:rsidRPr="00E30161" w:rsidRDefault="00037B3F" w:rsidP="00E30161">
      <w:pPr>
        <w:spacing w:line="480" w:lineRule="auto"/>
        <w:jc w:val="center"/>
        <w:rPr>
          <w:rFonts w:ascii="Times New Roman" w:hAnsi="Times New Roman" w:cs="Times New Roman"/>
          <w:b/>
          <w:sz w:val="24"/>
          <w:szCs w:val="24"/>
        </w:rPr>
      </w:pPr>
      <w:r w:rsidRPr="00E30161">
        <w:rPr>
          <w:rFonts w:ascii="Times New Roman" w:hAnsi="Times New Roman" w:cs="Times New Roman"/>
          <w:b/>
          <w:sz w:val="24"/>
          <w:szCs w:val="24"/>
        </w:rPr>
        <w:t>Advantages and Challenges of Moving Manufacturing to an Emerging Market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An emerging market can be defined as an economy that has not developed enough yet to reach the level of the economy of the first world. An emerging market has various advantages to companies doing businesses in them. The primary advantage is that there is an increased demand for new goods and services. The prevalent population in the emerging market is the people of a growing upper-class. This class of population often tends to buy luxury products that were previously unavailable in that locality. Giordano could benefit a lot in bringing new fashion trends that had not already made way into the market before. Approaching earlier enough will see the company’s brand become a status symbol in the economy.</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The other advantage is that it is easier to establish a brand and suppress competition. An emerging market could be virgin territory for the services or goods provided. If Giordano could be the first company to offer the consumers in these markets something new, there are higher chances of acquiring a large share in the market. In the position of being a market leader, or having a place among the top companies in an economy, aids the company to concentrate more on building its brand and making it more known in the developing economy. An emerging economy gives a chance of being a part of developing infrastructure. If the company operates </w:t>
      </w:r>
      <w:r w:rsidRPr="00037B3F">
        <w:rPr>
          <w:rFonts w:ascii="Times New Roman" w:hAnsi="Times New Roman" w:cs="Times New Roman"/>
          <w:sz w:val="24"/>
          <w:szCs w:val="24"/>
        </w:rPr>
        <w:lastRenderedPageBreak/>
        <w:t>from a single location, it faces a huge risk of suffering when the local economy turns downwards. Doing businesses in various countries help the company to be insulated against the ups and downs turns. The company can always make up for the reduced profits in another place that has higher profits. Dealing in different currencies could also be an advantage because of the fluctuations in dealing in different currencies. The company could also gain prestige if the domestic customers get to know that it has expanded to an emerging market.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A company in an emerging market has a great potential to grow because of the major developments happening. It is easier to identify opportunities in a developing economy than in the already developed economies, as these emerging economies remain in their early </w:t>
      </w:r>
      <w:r w:rsidR="00E30161">
        <w:rPr>
          <w:rFonts w:ascii="Times New Roman" w:hAnsi="Times New Roman" w:cs="Times New Roman"/>
          <w:sz w:val="24"/>
          <w:szCs w:val="24"/>
        </w:rPr>
        <w:t>expansion stages. Williamson (2015) states that a</w:t>
      </w:r>
      <w:r w:rsidRPr="00037B3F">
        <w:rPr>
          <w:rFonts w:ascii="Times New Roman" w:hAnsi="Times New Roman" w:cs="Times New Roman"/>
          <w:sz w:val="24"/>
          <w:szCs w:val="24"/>
        </w:rPr>
        <w:t xml:space="preserve">n emerging market could show greater growth than what is achievable in the developed economies. Emerging markets create strong capabilities in the innovation process. These skills would allow Giordano to have a competitive advantage as it has an opportunity to re-engineer processes in ways that will enable it to lower costs in an attempt to meet the low price points that are necessary to be able to serve the new market in the price conscious developing economy. An emerging economy also increases the innovations in the business model, where an existing service or product is produced, financed, sold, and serviced in new ways. Understanding the supply chain in emerging markets helps in different ways; the first key benefit is that it aids in understanding emerging markets dynamics. It also helps in examining the challenges of creating supply chains in emerging markets. It creates capabilities before market penetration and transfers information to the markets that are already developed. It develops frameworks that help in the analysis of opportunities in the emerging markets. Finally, it helps in customizing technology innovation. The emerging markets are the fastest growing economies in the world, and they could boom the equity markets. </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lastRenderedPageBreak/>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Investing in emerging markets, however, has its risks, the wrong side. No matter how good they might seem in providing new opportunities of investment, the higher expected returns, and diversification benefits, the potential investor, however, needs to be aware of certain risks before investing in the emerging economies. The first risk is of the foreign exchange. Stocks foreign investments automatically produce returns in the currency of the locality; this forces the investors to change the local currency into the currency of their country. In trading on foreign land, the foreign currency needs to be used, but the investor has to convert it back into his domestic currency. The currency fluctuations can, therefore, strongly affect the investment’s total return. Take for instance if the held stock increased its local value by 5%, but the real value decreases by 10%, the company will have a net loss of total returns during the selling and the conversion back to the d</w:t>
      </w:r>
      <w:r w:rsidR="00E30161">
        <w:rPr>
          <w:rFonts w:ascii="Times New Roman" w:hAnsi="Times New Roman" w:cs="Times New Roman"/>
          <w:sz w:val="24"/>
          <w:szCs w:val="24"/>
        </w:rPr>
        <w:t>omestic currency (</w:t>
      </w:r>
      <w:proofErr w:type="spellStart"/>
      <w:r w:rsidR="00E30161">
        <w:rPr>
          <w:rFonts w:ascii="Times New Roman" w:hAnsi="Times New Roman" w:cs="Times New Roman"/>
          <w:sz w:val="24"/>
          <w:szCs w:val="24"/>
        </w:rPr>
        <w:t>Pinkasovitch</w:t>
      </w:r>
      <w:proofErr w:type="spellEnd"/>
      <w:r w:rsidR="00E30161">
        <w:rPr>
          <w:rFonts w:ascii="Times New Roman" w:hAnsi="Times New Roman" w:cs="Times New Roman"/>
          <w:sz w:val="24"/>
          <w:szCs w:val="24"/>
        </w:rPr>
        <w:t>, 2018)</w:t>
      </w:r>
      <w:r w:rsidRPr="00037B3F">
        <w:rPr>
          <w:rFonts w:ascii="Times New Roman" w:hAnsi="Times New Roman" w:cs="Times New Roman"/>
          <w:sz w:val="24"/>
          <w:szCs w:val="24"/>
        </w:rPr>
        <w: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The next con is non-normal distribution. In the countries where there is a pattern of normal distributions, price derivatives can be obtained from financial models and therefore somehow be used to make an approximately accurate forecast on the future of equity costs. Variance analysis can however not be used in forecasting the securities of the emerging market. This variance can also be as a result of the changes being undergone by the emerging economies, which make it very hard to use historical information in drawing perfect correlations between returns and events.</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Emerging economies also cause lax insider restrictions of trading. Although numerous countries claim to have enforced harsh laws against insider trading, they do not prosecute these cases as much. Different forms of manipulation of market and insider trading results in market inefficiencies. The inefficiencies significantly deviate the equity prices from their intrinsic value. </w:t>
      </w:r>
      <w:r w:rsidRPr="00037B3F">
        <w:rPr>
          <w:rFonts w:ascii="Times New Roman" w:hAnsi="Times New Roman" w:cs="Times New Roman"/>
          <w:sz w:val="24"/>
          <w:szCs w:val="24"/>
        </w:rPr>
        <w:lastRenderedPageBreak/>
        <w:t>The system can, therefore, be put under extreme speculation, and can be controlled heavily by the parties holding privileged information.</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Emerging markets also lack liquidity as compared to the already developed countries. The market imperfection caused by less liquid contributes to higher broker fees, and a higher level of uncertainties in the prices. Substantial risks face a company that tries to trade in an illiquid market that the current price will not fill the orders they make, and transactions only go through an unfavorable level. The brokers will have to work hard and diligently to get counterparties to trade, and they, therefore, charge high commissions. A company cannot realize the advantages of fast transactions because of illiquid markets.</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Emerging economies also poses difficulties in raising capital, as the banking systems might not be well developed. A poorly developed system of banking will hinder the company in accessing the needed finances required in growing the business of the company (</w:t>
      </w:r>
      <w:proofErr w:type="spellStart"/>
      <w:r w:rsidRPr="00037B3F">
        <w:rPr>
          <w:rFonts w:ascii="Times New Roman" w:hAnsi="Times New Roman" w:cs="Times New Roman"/>
          <w:sz w:val="24"/>
          <w:szCs w:val="24"/>
        </w:rPr>
        <w:t>Pinkasovitch</w:t>
      </w:r>
      <w:proofErr w:type="spellEnd"/>
      <w:r w:rsidRPr="00037B3F">
        <w:rPr>
          <w:rFonts w:ascii="Times New Roman" w:hAnsi="Times New Roman" w:cs="Times New Roman"/>
          <w:sz w:val="24"/>
          <w:szCs w:val="24"/>
        </w:rPr>
        <w:t xml:space="preserve"> 4). The capital attained is usually issued with higher interest rates, and this raises the weighted average cost of money for the company. High weighted average costs of capital results in reduced projects produce returns higher enough to result in a positive net present value. The financial systems in developed economies prohibit companies from working on a higher variety of projects that generate profits.</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There also stands an increased risk of bankruptcy; this is as a result of poor checks and balances system and weak audit procedures. </w:t>
      </w:r>
      <w:r w:rsidR="00E30161">
        <w:rPr>
          <w:rFonts w:ascii="Times New Roman" w:hAnsi="Times New Roman" w:cs="Times New Roman"/>
          <w:sz w:val="24"/>
          <w:szCs w:val="24"/>
        </w:rPr>
        <w:t xml:space="preserve">According to </w:t>
      </w:r>
      <w:proofErr w:type="spellStart"/>
      <w:r w:rsidR="00E30161">
        <w:rPr>
          <w:rFonts w:ascii="Times New Roman" w:hAnsi="Times New Roman" w:cs="Times New Roman"/>
          <w:sz w:val="24"/>
          <w:szCs w:val="24"/>
        </w:rPr>
        <w:t>Pinkasovich</w:t>
      </w:r>
      <w:proofErr w:type="spellEnd"/>
      <w:r w:rsidR="00E30161">
        <w:rPr>
          <w:rFonts w:ascii="Times New Roman" w:hAnsi="Times New Roman" w:cs="Times New Roman"/>
          <w:sz w:val="24"/>
          <w:szCs w:val="24"/>
        </w:rPr>
        <w:t xml:space="preserve"> (2018), t</w:t>
      </w:r>
      <w:r w:rsidRPr="00037B3F">
        <w:rPr>
          <w:rFonts w:ascii="Times New Roman" w:hAnsi="Times New Roman" w:cs="Times New Roman"/>
          <w:sz w:val="24"/>
          <w:szCs w:val="24"/>
        </w:rPr>
        <w:t xml:space="preserve">he higher risks in the emerging markets result in bonds that have increased interests, the debt burden resulting from the high-interest rates increases the risk of bankruptcy. There are also uncertainties in regards to adverse actions and decisions of the government. The political risks are government </w:t>
      </w:r>
      <w:r w:rsidRPr="00037B3F">
        <w:rPr>
          <w:rFonts w:ascii="Times New Roman" w:hAnsi="Times New Roman" w:cs="Times New Roman"/>
          <w:sz w:val="24"/>
          <w:szCs w:val="24"/>
        </w:rPr>
        <w:lastRenderedPageBreak/>
        <w:t>interventions, increased tax rates, the possibility of violence, subsidy losses, market policy changes, and lack of the ability to control the laws</w:t>
      </w:r>
      <w:r w:rsidR="00E30161">
        <w:rPr>
          <w:rFonts w:ascii="Times New Roman" w:hAnsi="Times New Roman" w:cs="Times New Roman"/>
          <w:sz w:val="24"/>
          <w:szCs w:val="24"/>
        </w:rPr>
        <w:t xml:space="preserve"> and inflation</w:t>
      </w:r>
      <w:r w:rsidRPr="00037B3F">
        <w:rPr>
          <w:rFonts w:ascii="Times New Roman" w:hAnsi="Times New Roman" w:cs="Times New Roman"/>
          <w:sz w:val="24"/>
          <w:szCs w:val="24"/>
        </w:rPr>
        <w:t>.</w:t>
      </w:r>
    </w:p>
    <w:p w:rsidR="00037B3F" w:rsidRPr="00E30161" w:rsidRDefault="00037B3F" w:rsidP="00E30161">
      <w:pPr>
        <w:spacing w:line="480" w:lineRule="auto"/>
        <w:jc w:val="center"/>
        <w:rPr>
          <w:rFonts w:ascii="Times New Roman" w:hAnsi="Times New Roman" w:cs="Times New Roman"/>
          <w:b/>
          <w:sz w:val="24"/>
          <w:szCs w:val="24"/>
        </w:rPr>
      </w:pPr>
      <w:r w:rsidRPr="00E30161">
        <w:rPr>
          <w:rFonts w:ascii="Times New Roman" w:hAnsi="Times New Roman" w:cs="Times New Roman"/>
          <w:b/>
          <w:sz w:val="24"/>
          <w:szCs w:val="24"/>
        </w:rPr>
        <w:t>Whether Giordano Should Get Into the Emerging Market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If Giordano Company decides to invest abroad and get into the emerging economy, both the shareholders and the citizens of the host country will have a chance to benefit. Although this seems to be an apparent fit between what is needed what is offered by the foreign companies and what is required by host countries, success is not assured. There could be events, for example political, changing of attitudes in the social and economic crises could disrupt the plans that Giordano Company could have laid as the best they could. These forces, together with the choices made by the Giordano Company, will be prominent especially as governments head towards an uncertain course toward their stabilization because of the financial meltdown around the world.</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Taxation of executive compensation, international M&amp;A, and proper financial regulation scopes have contributed majorly to the awakening of the crisis. There are evident differences in policies and opinions on the above matters, which are more pronounced as discussions of the financial decisions of who should be paid and by how much. As interests in emerging economies keep soaring, the host countries learned to extract higher value from foreign companies through regulatory control other than using outrig</w:t>
      </w:r>
      <w:r w:rsidR="00833F37">
        <w:rPr>
          <w:rFonts w:ascii="Times New Roman" w:hAnsi="Times New Roman" w:cs="Times New Roman"/>
          <w:sz w:val="24"/>
          <w:szCs w:val="24"/>
        </w:rPr>
        <w:t>ht seizures</w:t>
      </w:r>
      <w:r w:rsidRPr="00037B3F">
        <w:rPr>
          <w:rFonts w:ascii="Times New Roman" w:hAnsi="Times New Roman" w:cs="Times New Roman"/>
          <w:sz w:val="24"/>
          <w:szCs w:val="24"/>
        </w:rPr>
        <w:t>. There are policy risks that could occur when a company ventures into an emerging market, for example, the risks of the government could change laws discriminatorily, contracts, or a law that governs an investment or fails to enforce the implemented ones.</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lastRenderedPageBreak/>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Companies that practice international business at often use combined legal contracts, trade in financial instruments, and insurance for the protection of their price or currency swings, they are however of less significance against policy risks. Giordano Company is a starter company, and it will, therefore, need to enforce legal contracts, although shifts in laws and regulations can make them void. Politicians could invent ways to circumvent even the legally enforced contracts; they could use other cunning means other than changing the law.</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Insurance has limited immunity against policy risks as the exposure of the company is determined largely by how well it does in managing the process of making process. The companies with more significant risks of exposure are the ones who seek insurance policies. The underwriters, therefore, raise the prices of their products and also offer a minimum coverage time. This issue is the same case to financial hedges, as their value for the same reasons is limited. Some innovative instruments have their base on the premium of the average risk in association with the companies already there in a given country</w:t>
      </w:r>
      <w:r w:rsidR="00717E6E">
        <w:rPr>
          <w:rFonts w:ascii="Times New Roman" w:hAnsi="Times New Roman" w:cs="Times New Roman"/>
          <w:sz w:val="24"/>
          <w:szCs w:val="24"/>
        </w:rPr>
        <w:t xml:space="preserve"> </w:t>
      </w:r>
      <w:r w:rsidR="00717E6E">
        <w:rPr>
          <w:rFonts w:ascii="Times New Roman" w:hAnsi="Times New Roman" w:cs="Times New Roman"/>
          <w:sz w:val="24"/>
          <w:szCs w:val="24"/>
        </w:rPr>
        <w:t>(</w:t>
      </w:r>
      <w:proofErr w:type="spellStart"/>
      <w:r w:rsidR="00717E6E">
        <w:rPr>
          <w:rFonts w:ascii="Times New Roman" w:hAnsi="Times New Roman" w:cs="Times New Roman"/>
          <w:sz w:val="24"/>
          <w:szCs w:val="24"/>
        </w:rPr>
        <w:t>Bace</w:t>
      </w:r>
      <w:proofErr w:type="spellEnd"/>
      <w:r w:rsidR="00717E6E">
        <w:rPr>
          <w:rFonts w:ascii="Times New Roman" w:hAnsi="Times New Roman" w:cs="Times New Roman"/>
          <w:sz w:val="24"/>
          <w:szCs w:val="24"/>
        </w:rPr>
        <w:t xml:space="preserve"> 2015</w:t>
      </w:r>
      <w:r w:rsidR="00717E6E" w:rsidRPr="00037B3F">
        <w:rPr>
          <w:rFonts w:ascii="Times New Roman" w:hAnsi="Times New Roman" w:cs="Times New Roman"/>
          <w:sz w:val="24"/>
          <w:szCs w:val="24"/>
        </w:rPr>
        <w:t>)</w:t>
      </w:r>
      <w:r w:rsidRPr="00037B3F">
        <w:rPr>
          <w:rFonts w:ascii="Times New Roman" w:hAnsi="Times New Roman" w:cs="Times New Roman"/>
          <w:sz w:val="24"/>
          <w:szCs w:val="24"/>
        </w:rPr>
        <w:t>.</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The hardships in creating hedges against policy risks via agreements and contracts, financial risk management tools, and insurance policies make it a necessity for the company to take the responsibility to manage their risks on their own. The managers have to focus beyond the cost-benefit analyses usually done. They have to learn on the ways to apply political pressure, either as a part of a coalition or as an individual. They have to rewrite a new playbook.</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Giordano Company does a lot in supporting goodwill. There is an expectancy of instant and huge gains from the exploitation of business models, practices, and technologies that they have honed in their home economies. It could happen unfortunately that political costs outweigh the gains above. The outcomes could cause more loss than gains.</w:t>
      </w:r>
    </w:p>
    <w:p w:rsidR="00037B3F" w:rsidRPr="00037B3F" w:rsidRDefault="00037B3F" w:rsidP="00037B3F">
      <w:pPr>
        <w:spacing w:line="480" w:lineRule="auto"/>
        <w:rPr>
          <w:rFonts w:ascii="Times New Roman" w:hAnsi="Times New Roman" w:cs="Times New Roman"/>
          <w:sz w:val="24"/>
          <w:szCs w:val="24"/>
        </w:rPr>
      </w:pPr>
      <w:r w:rsidRPr="00037B3F">
        <w:rPr>
          <w:rFonts w:ascii="Times New Roman" w:hAnsi="Times New Roman" w:cs="Times New Roman"/>
          <w:sz w:val="24"/>
          <w:szCs w:val="24"/>
        </w:rPr>
        <w:lastRenderedPageBreak/>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If a decision is made for Giordano Company to enter a new country, it has to engage in extensive campaigns that are more than brand advertisements and various commercial ventures. It will need to master the political art spin. The most powerful means to secure political support is presenting the investment as ‘equitable’, ‘fair’, or ‘growth-enhancing’ other than giving a cost-benefit analysis. Society relationship networks influence the policy outcomes in a greater way, mostly in countries which do not have strong legal systems</w:t>
      </w:r>
      <w:r w:rsidR="00717E6E">
        <w:rPr>
          <w:rFonts w:ascii="Times New Roman" w:hAnsi="Times New Roman" w:cs="Times New Roman"/>
          <w:sz w:val="24"/>
          <w:szCs w:val="24"/>
        </w:rPr>
        <w:t xml:space="preserve"> </w:t>
      </w:r>
      <w:r w:rsidR="00717E6E">
        <w:rPr>
          <w:rFonts w:ascii="Times New Roman" w:hAnsi="Times New Roman" w:cs="Times New Roman"/>
          <w:sz w:val="24"/>
          <w:szCs w:val="24"/>
        </w:rPr>
        <w:t>(</w:t>
      </w:r>
      <w:proofErr w:type="spellStart"/>
      <w:r w:rsidR="00717E6E">
        <w:rPr>
          <w:rFonts w:ascii="Times New Roman" w:hAnsi="Times New Roman" w:cs="Times New Roman"/>
          <w:sz w:val="24"/>
          <w:szCs w:val="24"/>
        </w:rPr>
        <w:t>Bace</w:t>
      </w:r>
      <w:proofErr w:type="spellEnd"/>
      <w:r w:rsidR="00717E6E">
        <w:rPr>
          <w:rFonts w:ascii="Times New Roman" w:hAnsi="Times New Roman" w:cs="Times New Roman"/>
          <w:sz w:val="24"/>
          <w:szCs w:val="24"/>
        </w:rPr>
        <w:t xml:space="preserve"> 2015</w:t>
      </w:r>
      <w:r w:rsidR="00717E6E" w:rsidRPr="00037B3F">
        <w:rPr>
          <w:rFonts w:ascii="Times New Roman" w:hAnsi="Times New Roman" w:cs="Times New Roman"/>
          <w:sz w:val="24"/>
          <w:szCs w:val="24"/>
        </w:rPr>
        <w:t>)</w:t>
      </w:r>
      <w:r w:rsidRPr="00037B3F">
        <w:rPr>
          <w:rFonts w:ascii="Times New Roman" w:hAnsi="Times New Roman" w:cs="Times New Roman"/>
          <w:sz w:val="24"/>
          <w:szCs w:val="24"/>
        </w:rPr>
        <w:t>. For Giordano to turn the networks to their benefits, they should be able to identify and engage the power bases of local politicians. If it has no enough leverage needed to influence relevant actors, it can assemble a coalition of interests. The home government of the Giordano Company could be a powerful influence channel. It should, however, be a careful move s it could be seen as meddling with the affairs of the other government. The officials in charge of the company should understand the opinions, attitudes, and positions of the actors relevant toward the company, and the industry under which the company will operate to influence the playing field outcomes.</w:t>
      </w:r>
    </w:p>
    <w:p w:rsidR="008C6230" w:rsidRPr="004735E3" w:rsidRDefault="00037B3F" w:rsidP="004863EA">
      <w:pPr>
        <w:spacing w:line="480" w:lineRule="auto"/>
        <w:rPr>
          <w:rFonts w:ascii="Times New Roman" w:hAnsi="Times New Roman" w:cs="Times New Roman"/>
          <w:sz w:val="24"/>
          <w:szCs w:val="24"/>
        </w:rPr>
      </w:pPr>
      <w:r w:rsidRPr="00037B3F">
        <w:rPr>
          <w:rFonts w:ascii="Times New Roman" w:hAnsi="Times New Roman" w:cs="Times New Roman"/>
          <w:sz w:val="24"/>
          <w:szCs w:val="24"/>
        </w:rPr>
        <w:t xml:space="preserve">  </w:t>
      </w:r>
      <w:r w:rsidR="00717E6E">
        <w:rPr>
          <w:rFonts w:ascii="Times New Roman" w:hAnsi="Times New Roman" w:cs="Times New Roman"/>
          <w:sz w:val="24"/>
          <w:szCs w:val="24"/>
        </w:rPr>
        <w:tab/>
      </w:r>
      <w:r w:rsidRPr="00037B3F">
        <w:rPr>
          <w:rFonts w:ascii="Times New Roman" w:hAnsi="Times New Roman" w:cs="Times New Roman"/>
          <w:sz w:val="24"/>
          <w:szCs w:val="24"/>
        </w:rPr>
        <w:t xml:space="preserve">  In conclusion, investing in emerging economies or markets can bring huge returns to the company’s portfolio. However, the company that needs to invest should be aware that the judging of the high returns is dependent on the framework of risk and reward. The biggest challenge for the Giordano Company is finding a way to take advantage of the growth of an emerging market, while on the other hand avoiding being exposed to its drawbacks and volatility. The risks could be so great to justify the entry of the company into particular political zones. In many cases, however, if the company is able to explicitly recognize the environment’s dynamism and implement the necessary strategies to address the risks will be able to manage them. Before using the information on the emerging economies and the government structures in the planning models, it sho</w:t>
      </w:r>
      <w:r w:rsidR="00833F37">
        <w:rPr>
          <w:rFonts w:ascii="Times New Roman" w:hAnsi="Times New Roman" w:cs="Times New Roman"/>
          <w:sz w:val="24"/>
          <w:szCs w:val="24"/>
        </w:rPr>
        <w:t>uld be double checked</w:t>
      </w:r>
      <w:r w:rsidR="00717E6E">
        <w:rPr>
          <w:rFonts w:ascii="Times New Roman" w:hAnsi="Times New Roman" w:cs="Times New Roman"/>
          <w:sz w:val="24"/>
          <w:szCs w:val="24"/>
        </w:rPr>
        <w:t>.</w:t>
      </w:r>
    </w:p>
    <w:p w:rsidR="00E54482" w:rsidRPr="00236A03" w:rsidRDefault="00236A03" w:rsidP="00E54482">
      <w:pPr>
        <w:spacing w:line="480" w:lineRule="auto"/>
        <w:jc w:val="center"/>
        <w:rPr>
          <w:rFonts w:ascii="Times New Roman" w:hAnsi="Times New Roman" w:cs="Times New Roman"/>
          <w:color w:val="000000" w:themeColor="text1"/>
          <w:sz w:val="24"/>
          <w:szCs w:val="24"/>
        </w:rPr>
      </w:pPr>
      <w:r w:rsidRPr="00236A03">
        <w:rPr>
          <w:rFonts w:ascii="Times New Roman" w:hAnsi="Times New Roman" w:cs="Times New Roman"/>
          <w:color w:val="000000" w:themeColor="text1"/>
          <w:sz w:val="24"/>
          <w:szCs w:val="24"/>
        </w:rPr>
        <w:lastRenderedPageBreak/>
        <w:t xml:space="preserve">References </w:t>
      </w:r>
    </w:p>
    <w:p w:rsidR="00510CD4" w:rsidRPr="00236A03" w:rsidRDefault="00510CD4" w:rsidP="00510CD4">
      <w:pPr>
        <w:spacing w:line="480" w:lineRule="auto"/>
        <w:rPr>
          <w:rFonts w:ascii="Times New Roman" w:hAnsi="Times New Roman" w:cs="Times New Roman"/>
          <w:color w:val="000000" w:themeColor="text1"/>
          <w:sz w:val="24"/>
          <w:szCs w:val="24"/>
        </w:rPr>
      </w:pPr>
      <w:proofErr w:type="spellStart"/>
      <w:r w:rsidRPr="00236A03">
        <w:rPr>
          <w:rFonts w:ascii="Times New Roman" w:hAnsi="Times New Roman" w:cs="Times New Roman"/>
          <w:color w:val="000000" w:themeColor="text1"/>
          <w:sz w:val="24"/>
          <w:szCs w:val="24"/>
        </w:rPr>
        <w:t>Bace</w:t>
      </w:r>
      <w:proofErr w:type="spellEnd"/>
      <w:r w:rsidRPr="00236A03">
        <w:rPr>
          <w:rFonts w:ascii="Times New Roman" w:hAnsi="Times New Roman" w:cs="Times New Roman"/>
          <w:color w:val="000000" w:themeColor="text1"/>
          <w:sz w:val="24"/>
          <w:szCs w:val="24"/>
        </w:rPr>
        <w:t xml:space="preserve">, Ed. </w:t>
      </w:r>
      <w:r w:rsidR="00833F37" w:rsidRPr="00236A03">
        <w:rPr>
          <w:rFonts w:ascii="Times New Roman" w:hAnsi="Times New Roman" w:cs="Times New Roman"/>
          <w:color w:val="000000" w:themeColor="text1"/>
          <w:sz w:val="24"/>
          <w:szCs w:val="24"/>
        </w:rPr>
        <w:t>(2015)</w:t>
      </w:r>
      <w:r w:rsidR="00236A03" w:rsidRPr="00236A03">
        <w:rPr>
          <w:rFonts w:ascii="Times New Roman" w:hAnsi="Times New Roman" w:cs="Times New Roman"/>
          <w:color w:val="000000" w:themeColor="text1"/>
          <w:sz w:val="24"/>
          <w:szCs w:val="24"/>
        </w:rPr>
        <w:t>.</w:t>
      </w:r>
      <w:r w:rsidR="00833F37" w:rsidRPr="00236A03">
        <w:rPr>
          <w:rFonts w:ascii="Times New Roman" w:hAnsi="Times New Roman" w:cs="Times New Roman"/>
          <w:color w:val="000000" w:themeColor="text1"/>
          <w:sz w:val="24"/>
          <w:szCs w:val="24"/>
        </w:rPr>
        <w:t xml:space="preserve"> </w:t>
      </w:r>
      <w:r w:rsidRPr="00236A03">
        <w:rPr>
          <w:rFonts w:ascii="Times New Roman" w:hAnsi="Times New Roman" w:cs="Times New Roman"/>
          <w:color w:val="000000" w:themeColor="text1"/>
          <w:sz w:val="24"/>
          <w:szCs w:val="24"/>
        </w:rPr>
        <w:t xml:space="preserve">For and against emerging markets: benefits and hazards of investing in </w:t>
      </w:r>
      <w:r w:rsidR="00833F37" w:rsidRPr="00236A03">
        <w:rPr>
          <w:rFonts w:ascii="Times New Roman" w:hAnsi="Times New Roman" w:cs="Times New Roman"/>
          <w:color w:val="000000" w:themeColor="text1"/>
          <w:sz w:val="24"/>
          <w:szCs w:val="24"/>
        </w:rPr>
        <w:tab/>
      </w:r>
      <w:r w:rsidRPr="00236A03">
        <w:rPr>
          <w:rFonts w:ascii="Times New Roman" w:hAnsi="Times New Roman" w:cs="Times New Roman"/>
          <w:color w:val="000000" w:themeColor="text1"/>
          <w:sz w:val="24"/>
          <w:szCs w:val="24"/>
        </w:rPr>
        <w:t xml:space="preserve">emerging markets.” </w:t>
      </w:r>
      <w:r w:rsidRPr="00236A03">
        <w:rPr>
          <w:rFonts w:ascii="Times New Roman" w:hAnsi="Times New Roman" w:cs="Times New Roman"/>
          <w:i/>
          <w:color w:val="000000" w:themeColor="text1"/>
          <w:sz w:val="24"/>
          <w:szCs w:val="24"/>
        </w:rPr>
        <w:t>Financial Times</w:t>
      </w:r>
      <w:r w:rsidR="008C6230" w:rsidRPr="00236A03">
        <w:rPr>
          <w:rFonts w:ascii="Times New Roman" w:hAnsi="Times New Roman" w:cs="Times New Roman"/>
          <w:i/>
          <w:color w:val="000000" w:themeColor="text1"/>
          <w:sz w:val="24"/>
          <w:szCs w:val="24"/>
        </w:rPr>
        <w:t xml:space="preserve">. </w:t>
      </w:r>
      <w:r w:rsidR="008C6230" w:rsidRPr="00236A03">
        <w:rPr>
          <w:rFonts w:ascii="Times New Roman" w:hAnsi="Times New Roman" w:cs="Times New Roman"/>
          <w:color w:val="000000" w:themeColor="text1"/>
          <w:sz w:val="24"/>
          <w:szCs w:val="24"/>
        </w:rPr>
        <w:t xml:space="preserve">Retrieved from </w:t>
      </w:r>
      <w:r w:rsidR="00833F37" w:rsidRPr="00236A03">
        <w:rPr>
          <w:rFonts w:ascii="Times New Roman" w:hAnsi="Times New Roman" w:cs="Times New Roman"/>
          <w:color w:val="000000" w:themeColor="text1"/>
          <w:sz w:val="24"/>
          <w:szCs w:val="24"/>
        </w:rPr>
        <w:tab/>
      </w:r>
      <w:r w:rsidR="008C6230" w:rsidRPr="00236A03">
        <w:rPr>
          <w:rFonts w:ascii="Times New Roman" w:hAnsi="Times New Roman" w:cs="Times New Roman"/>
          <w:color w:val="000000" w:themeColor="text1"/>
          <w:sz w:val="24"/>
          <w:szCs w:val="24"/>
        </w:rPr>
        <w:t>https://www.ft.com/content/f769f698-ff0b-11df-956b-00144feab49a</w:t>
      </w:r>
    </w:p>
    <w:p w:rsidR="004333A3" w:rsidRPr="00236A03" w:rsidRDefault="004333A3" w:rsidP="004333A3">
      <w:pPr>
        <w:pStyle w:val="Heading1"/>
        <w:spacing w:before="0" w:beforeAutospacing="0" w:after="375" w:afterAutospacing="0" w:line="480" w:lineRule="auto"/>
        <w:rPr>
          <w:b w:val="0"/>
          <w:bCs w:val="0"/>
          <w:i/>
          <w:color w:val="000000" w:themeColor="text1"/>
          <w:sz w:val="24"/>
          <w:szCs w:val="24"/>
        </w:rPr>
      </w:pPr>
      <w:proofErr w:type="spellStart"/>
      <w:r w:rsidRPr="00236A03">
        <w:rPr>
          <w:b w:val="0"/>
          <w:color w:val="000000" w:themeColor="text1"/>
          <w:sz w:val="24"/>
          <w:szCs w:val="24"/>
        </w:rPr>
        <w:t>Galbreath</w:t>
      </w:r>
      <w:proofErr w:type="spellEnd"/>
      <w:r w:rsidRPr="00236A03">
        <w:rPr>
          <w:b w:val="0"/>
          <w:color w:val="000000" w:themeColor="text1"/>
          <w:sz w:val="24"/>
          <w:szCs w:val="24"/>
        </w:rPr>
        <w:t xml:space="preserve"> J. </w:t>
      </w:r>
      <w:r w:rsidR="00833F37" w:rsidRPr="00236A03">
        <w:rPr>
          <w:b w:val="0"/>
          <w:color w:val="000000" w:themeColor="text1"/>
          <w:sz w:val="24"/>
          <w:szCs w:val="24"/>
        </w:rPr>
        <w:t>(2010)</w:t>
      </w:r>
      <w:r w:rsidR="00236A03" w:rsidRPr="00236A03">
        <w:rPr>
          <w:b w:val="0"/>
          <w:color w:val="000000" w:themeColor="text1"/>
          <w:sz w:val="24"/>
          <w:szCs w:val="24"/>
        </w:rPr>
        <w:t>.</w:t>
      </w:r>
      <w:r w:rsidR="00833F37" w:rsidRPr="00236A03">
        <w:rPr>
          <w:b w:val="0"/>
          <w:color w:val="000000" w:themeColor="text1"/>
          <w:sz w:val="24"/>
          <w:szCs w:val="24"/>
        </w:rPr>
        <w:t xml:space="preserve"> </w:t>
      </w:r>
      <w:r w:rsidRPr="00236A03">
        <w:rPr>
          <w:b w:val="0"/>
          <w:bCs w:val="0"/>
          <w:color w:val="000000" w:themeColor="text1"/>
          <w:sz w:val="24"/>
          <w:szCs w:val="24"/>
        </w:rPr>
        <w:t xml:space="preserve">How does corporate social responsibility benefit firms? Evidence from </w:t>
      </w:r>
      <w:r w:rsidR="00833F37" w:rsidRPr="00236A03">
        <w:rPr>
          <w:b w:val="0"/>
          <w:bCs w:val="0"/>
          <w:color w:val="000000" w:themeColor="text1"/>
          <w:sz w:val="24"/>
          <w:szCs w:val="24"/>
        </w:rPr>
        <w:tab/>
      </w:r>
      <w:r w:rsidRPr="00236A03">
        <w:rPr>
          <w:b w:val="0"/>
          <w:bCs w:val="0"/>
          <w:color w:val="000000" w:themeColor="text1"/>
          <w:sz w:val="24"/>
          <w:szCs w:val="24"/>
        </w:rPr>
        <w:t xml:space="preserve">Australia. </w:t>
      </w:r>
      <w:r w:rsidRPr="00236A03">
        <w:rPr>
          <w:b w:val="0"/>
          <w:bCs w:val="0"/>
          <w:i/>
          <w:color w:val="000000" w:themeColor="text1"/>
          <w:sz w:val="24"/>
          <w:szCs w:val="24"/>
        </w:rPr>
        <w:t xml:space="preserve">European Business Review. 22(4): 411-431. </w:t>
      </w:r>
      <w:proofErr w:type="spellStart"/>
      <w:r w:rsidR="00833F37" w:rsidRPr="00236A03">
        <w:rPr>
          <w:b w:val="0"/>
          <w:bCs w:val="0"/>
          <w:i/>
          <w:color w:val="000000" w:themeColor="text1"/>
          <w:sz w:val="24"/>
          <w:szCs w:val="24"/>
        </w:rPr>
        <w:t>doi</w:t>
      </w:r>
      <w:proofErr w:type="spellEnd"/>
      <w:r w:rsidR="00833F37" w:rsidRPr="00236A03">
        <w:rPr>
          <w:b w:val="0"/>
          <w:bCs w:val="0"/>
          <w:i/>
          <w:color w:val="000000" w:themeColor="text1"/>
          <w:sz w:val="24"/>
          <w:szCs w:val="24"/>
        </w:rPr>
        <w:t>/</w:t>
      </w:r>
      <w:r w:rsidRPr="00236A03">
        <w:rPr>
          <w:b w:val="0"/>
          <w:bCs w:val="0"/>
          <w:i/>
          <w:color w:val="000000" w:themeColor="text1"/>
          <w:sz w:val="24"/>
          <w:szCs w:val="24"/>
        </w:rPr>
        <w:t>10.1108/09555341011056186.</w:t>
      </w:r>
    </w:p>
    <w:p w:rsidR="00E54482" w:rsidRPr="00236A03" w:rsidRDefault="00E54482" w:rsidP="00E54482">
      <w:pPr>
        <w:spacing w:line="480" w:lineRule="auto"/>
        <w:rPr>
          <w:rFonts w:ascii="Times New Roman" w:hAnsi="Times New Roman" w:cs="Times New Roman"/>
          <w:i/>
          <w:color w:val="000000" w:themeColor="text1"/>
          <w:sz w:val="24"/>
          <w:szCs w:val="24"/>
        </w:rPr>
      </w:pPr>
      <w:r w:rsidRPr="00236A03">
        <w:rPr>
          <w:rFonts w:ascii="Times New Roman" w:hAnsi="Times New Roman" w:cs="Times New Roman"/>
          <w:color w:val="000000" w:themeColor="text1"/>
          <w:sz w:val="24"/>
          <w:szCs w:val="24"/>
        </w:rPr>
        <w:t xml:space="preserve">Giordano. </w:t>
      </w:r>
      <w:r w:rsidR="00E30161" w:rsidRPr="00236A03">
        <w:rPr>
          <w:rFonts w:ascii="Times New Roman" w:hAnsi="Times New Roman" w:cs="Times New Roman"/>
          <w:color w:val="000000" w:themeColor="text1"/>
          <w:sz w:val="24"/>
          <w:szCs w:val="24"/>
        </w:rPr>
        <w:t xml:space="preserve">(2019) </w:t>
      </w:r>
      <w:r w:rsidRPr="00236A03">
        <w:rPr>
          <w:rFonts w:ascii="Times New Roman" w:hAnsi="Times New Roman" w:cs="Times New Roman"/>
          <w:color w:val="000000" w:themeColor="text1"/>
          <w:sz w:val="24"/>
          <w:szCs w:val="24"/>
        </w:rPr>
        <w:t>Giorda</w:t>
      </w:r>
      <w:r w:rsidR="00E30161" w:rsidRPr="00236A03">
        <w:rPr>
          <w:rFonts w:ascii="Times New Roman" w:hAnsi="Times New Roman" w:cs="Times New Roman"/>
          <w:color w:val="000000" w:themeColor="text1"/>
          <w:sz w:val="24"/>
          <w:szCs w:val="24"/>
        </w:rPr>
        <w:t>no International: Company Info.</w:t>
      </w:r>
      <w:r w:rsidRPr="00236A03">
        <w:rPr>
          <w:rFonts w:ascii="Times New Roman" w:hAnsi="Times New Roman" w:cs="Times New Roman"/>
          <w:color w:val="000000" w:themeColor="text1"/>
          <w:sz w:val="24"/>
          <w:szCs w:val="24"/>
        </w:rPr>
        <w:t xml:space="preserve"> </w:t>
      </w:r>
      <w:r w:rsidR="00027D8D" w:rsidRPr="00236A03">
        <w:rPr>
          <w:rFonts w:ascii="Times New Roman" w:hAnsi="Times New Roman" w:cs="Times New Roman"/>
          <w:i/>
          <w:color w:val="000000" w:themeColor="text1"/>
          <w:sz w:val="24"/>
          <w:szCs w:val="24"/>
        </w:rPr>
        <w:t>http://www.giordano.com.sa/company-</w:t>
      </w:r>
      <w:r w:rsidR="00E30161" w:rsidRPr="00236A03">
        <w:rPr>
          <w:rFonts w:ascii="Times New Roman" w:hAnsi="Times New Roman" w:cs="Times New Roman"/>
          <w:i/>
          <w:color w:val="000000" w:themeColor="text1"/>
          <w:sz w:val="24"/>
          <w:szCs w:val="24"/>
        </w:rPr>
        <w:tab/>
      </w:r>
      <w:r w:rsidR="00027D8D" w:rsidRPr="00236A03">
        <w:rPr>
          <w:rFonts w:ascii="Times New Roman" w:hAnsi="Times New Roman" w:cs="Times New Roman"/>
          <w:i/>
          <w:color w:val="000000" w:themeColor="text1"/>
          <w:sz w:val="24"/>
          <w:szCs w:val="24"/>
        </w:rPr>
        <w:t>info/</w:t>
      </w:r>
    </w:p>
    <w:p w:rsidR="00A94990" w:rsidRPr="00236A03" w:rsidRDefault="00833F37" w:rsidP="00E54482">
      <w:pPr>
        <w:spacing w:line="480" w:lineRule="auto"/>
        <w:rPr>
          <w:rFonts w:ascii="Times New Roman" w:hAnsi="Times New Roman" w:cs="Times New Roman"/>
          <w:color w:val="000000" w:themeColor="text1"/>
          <w:sz w:val="24"/>
          <w:szCs w:val="24"/>
        </w:rPr>
      </w:pPr>
      <w:proofErr w:type="spellStart"/>
      <w:r w:rsidRPr="00236A03">
        <w:rPr>
          <w:rFonts w:ascii="Times New Roman" w:hAnsi="Times New Roman" w:cs="Times New Roman"/>
          <w:color w:val="000000" w:themeColor="text1"/>
          <w:sz w:val="24"/>
          <w:szCs w:val="24"/>
        </w:rPr>
        <w:t>Pinkasovitch</w:t>
      </w:r>
      <w:proofErr w:type="spellEnd"/>
      <w:r w:rsidRPr="00236A03">
        <w:rPr>
          <w:rFonts w:ascii="Times New Roman" w:hAnsi="Times New Roman" w:cs="Times New Roman"/>
          <w:color w:val="000000" w:themeColor="text1"/>
          <w:sz w:val="24"/>
          <w:szCs w:val="24"/>
        </w:rPr>
        <w:t>, Arthur. (2018)</w:t>
      </w:r>
      <w:r w:rsidR="00236A03" w:rsidRPr="00236A03">
        <w:rPr>
          <w:rFonts w:ascii="Times New Roman" w:hAnsi="Times New Roman" w:cs="Times New Roman"/>
          <w:color w:val="000000" w:themeColor="text1"/>
          <w:sz w:val="24"/>
          <w:szCs w:val="24"/>
        </w:rPr>
        <w:t>.</w:t>
      </w:r>
      <w:r w:rsidRPr="00236A03">
        <w:rPr>
          <w:rFonts w:ascii="Times New Roman" w:hAnsi="Times New Roman" w:cs="Times New Roman"/>
          <w:color w:val="000000" w:themeColor="text1"/>
          <w:sz w:val="24"/>
          <w:szCs w:val="24"/>
        </w:rPr>
        <w:t xml:space="preserve"> </w:t>
      </w:r>
      <w:proofErr w:type="gramStart"/>
      <w:r w:rsidR="00A94990" w:rsidRPr="00236A03">
        <w:rPr>
          <w:rFonts w:ascii="Times New Roman" w:hAnsi="Times New Roman" w:cs="Times New Roman"/>
          <w:color w:val="000000" w:themeColor="text1"/>
          <w:sz w:val="24"/>
          <w:szCs w:val="24"/>
        </w:rPr>
        <w:t>The</w:t>
      </w:r>
      <w:proofErr w:type="gramEnd"/>
      <w:r w:rsidR="00A94990" w:rsidRPr="00236A03">
        <w:rPr>
          <w:rFonts w:ascii="Times New Roman" w:hAnsi="Times New Roman" w:cs="Times New Roman"/>
          <w:color w:val="000000" w:themeColor="text1"/>
          <w:sz w:val="24"/>
          <w:szCs w:val="24"/>
        </w:rPr>
        <w:t xml:space="preserve"> risks of investing in emerging markets.”  </w:t>
      </w:r>
      <w:proofErr w:type="spellStart"/>
      <w:r w:rsidR="00A94990" w:rsidRPr="00236A03">
        <w:rPr>
          <w:rFonts w:ascii="Times New Roman" w:hAnsi="Times New Roman" w:cs="Times New Roman"/>
          <w:i/>
          <w:color w:val="000000" w:themeColor="text1"/>
          <w:sz w:val="24"/>
          <w:szCs w:val="24"/>
        </w:rPr>
        <w:t>Investopedia</w:t>
      </w:r>
      <w:proofErr w:type="spellEnd"/>
      <w:r w:rsidR="00A94990" w:rsidRPr="00236A03">
        <w:rPr>
          <w:rFonts w:ascii="Times New Roman" w:hAnsi="Times New Roman" w:cs="Times New Roman"/>
          <w:color w:val="000000" w:themeColor="text1"/>
          <w:sz w:val="24"/>
          <w:szCs w:val="24"/>
        </w:rPr>
        <w:t>.</w:t>
      </w:r>
    </w:p>
    <w:p w:rsidR="00865510" w:rsidRPr="00236A03" w:rsidRDefault="00865510" w:rsidP="00E54482">
      <w:pPr>
        <w:spacing w:line="480" w:lineRule="auto"/>
        <w:rPr>
          <w:rFonts w:ascii="Times New Roman" w:hAnsi="Times New Roman" w:cs="Times New Roman"/>
          <w:i/>
          <w:color w:val="000000" w:themeColor="text1"/>
          <w:sz w:val="24"/>
          <w:szCs w:val="24"/>
        </w:rPr>
      </w:pPr>
      <w:r w:rsidRPr="00236A03">
        <w:rPr>
          <w:rFonts w:ascii="Times New Roman" w:hAnsi="Times New Roman" w:cs="Times New Roman"/>
          <w:color w:val="000000" w:themeColor="text1"/>
          <w:sz w:val="24"/>
          <w:szCs w:val="24"/>
        </w:rPr>
        <w:t xml:space="preserve">Williamson, Peter. </w:t>
      </w:r>
      <w:r w:rsidR="00833F37" w:rsidRPr="00236A03">
        <w:rPr>
          <w:rFonts w:ascii="Times New Roman" w:hAnsi="Times New Roman" w:cs="Times New Roman"/>
          <w:color w:val="000000" w:themeColor="text1"/>
          <w:sz w:val="24"/>
          <w:szCs w:val="24"/>
        </w:rPr>
        <w:t>(2015)</w:t>
      </w:r>
      <w:r w:rsidR="00236A03" w:rsidRPr="00236A03">
        <w:rPr>
          <w:rFonts w:ascii="Times New Roman" w:hAnsi="Times New Roman" w:cs="Times New Roman"/>
          <w:color w:val="000000" w:themeColor="text1"/>
          <w:sz w:val="24"/>
          <w:szCs w:val="24"/>
        </w:rPr>
        <w:t>.</w:t>
      </w:r>
      <w:r w:rsidR="00833F37" w:rsidRPr="00236A03">
        <w:rPr>
          <w:rFonts w:ascii="Times New Roman" w:hAnsi="Times New Roman" w:cs="Times New Roman"/>
          <w:color w:val="000000" w:themeColor="text1"/>
          <w:sz w:val="24"/>
          <w:szCs w:val="24"/>
        </w:rPr>
        <w:t xml:space="preserve"> </w:t>
      </w:r>
      <w:proofErr w:type="gramStart"/>
      <w:r w:rsidRPr="00236A03">
        <w:rPr>
          <w:rFonts w:ascii="Times New Roman" w:hAnsi="Times New Roman" w:cs="Times New Roman"/>
          <w:color w:val="000000" w:themeColor="text1"/>
          <w:sz w:val="24"/>
          <w:szCs w:val="24"/>
        </w:rPr>
        <w:t>The</w:t>
      </w:r>
      <w:proofErr w:type="gramEnd"/>
      <w:r w:rsidRPr="00236A03">
        <w:rPr>
          <w:rFonts w:ascii="Times New Roman" w:hAnsi="Times New Roman" w:cs="Times New Roman"/>
          <w:color w:val="000000" w:themeColor="text1"/>
          <w:sz w:val="24"/>
          <w:szCs w:val="24"/>
        </w:rPr>
        <w:t xml:space="preserve"> competitive advantages of emerging market multinationals: A re-</w:t>
      </w:r>
      <w:r w:rsidRPr="00236A03">
        <w:rPr>
          <w:rFonts w:ascii="Times New Roman" w:hAnsi="Times New Roman" w:cs="Times New Roman"/>
          <w:color w:val="000000" w:themeColor="text1"/>
          <w:sz w:val="24"/>
          <w:szCs w:val="24"/>
        </w:rPr>
        <w:tab/>
        <w:t xml:space="preserve">assessment”. </w:t>
      </w:r>
      <w:r w:rsidRPr="00236A03">
        <w:rPr>
          <w:rFonts w:ascii="Times New Roman" w:hAnsi="Times New Roman" w:cs="Times New Roman"/>
          <w:i/>
          <w:color w:val="000000" w:themeColor="text1"/>
          <w:sz w:val="24"/>
          <w:szCs w:val="24"/>
        </w:rPr>
        <w:t>Critical perspect</w:t>
      </w:r>
      <w:r w:rsidR="00833F37" w:rsidRPr="00236A03">
        <w:rPr>
          <w:rFonts w:ascii="Times New Roman" w:hAnsi="Times New Roman" w:cs="Times New Roman"/>
          <w:i/>
          <w:color w:val="000000" w:themeColor="text1"/>
          <w:sz w:val="24"/>
          <w:szCs w:val="24"/>
        </w:rPr>
        <w:t>ives on international business</w:t>
      </w:r>
      <w:r w:rsidRPr="00236A03">
        <w:rPr>
          <w:rFonts w:ascii="Times New Roman" w:hAnsi="Times New Roman" w:cs="Times New Roman"/>
          <w:i/>
          <w:color w:val="000000" w:themeColor="text1"/>
          <w:sz w:val="24"/>
          <w:szCs w:val="24"/>
        </w:rPr>
        <w:t xml:space="preserve">. 11. 216-235. </w:t>
      </w:r>
      <w:r w:rsidRPr="00236A03">
        <w:rPr>
          <w:rFonts w:ascii="Times New Roman" w:hAnsi="Times New Roman" w:cs="Times New Roman"/>
          <w:i/>
          <w:color w:val="000000" w:themeColor="text1"/>
          <w:sz w:val="24"/>
          <w:szCs w:val="24"/>
        </w:rPr>
        <w:tab/>
        <w:t>10.1108/cpoib-02-2014-0008.</w:t>
      </w:r>
      <w:bookmarkStart w:id="0" w:name="_GoBack"/>
      <w:bookmarkEnd w:id="0"/>
    </w:p>
    <w:sectPr w:rsidR="00865510" w:rsidRPr="00236A03" w:rsidSect="00CA30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0D9" w:rsidRDefault="004E30D9" w:rsidP="00325B4B">
      <w:pPr>
        <w:spacing w:after="0" w:line="240" w:lineRule="auto"/>
      </w:pPr>
      <w:r>
        <w:separator/>
      </w:r>
    </w:p>
  </w:endnote>
  <w:endnote w:type="continuationSeparator" w:id="0">
    <w:p w:rsidR="004E30D9" w:rsidRDefault="004E30D9" w:rsidP="0032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0D9" w:rsidRDefault="004E30D9" w:rsidP="00325B4B">
      <w:pPr>
        <w:spacing w:after="0" w:line="240" w:lineRule="auto"/>
      </w:pPr>
      <w:r>
        <w:separator/>
      </w:r>
    </w:p>
  </w:footnote>
  <w:footnote w:type="continuationSeparator" w:id="0">
    <w:p w:rsidR="004E30D9" w:rsidRDefault="004E30D9" w:rsidP="00325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236A03">
          <w:rPr>
            <w:rFonts w:ascii="Times New Roman" w:hAnsi="Times New Roman" w:cs="Times New Roman"/>
            <w:noProof/>
            <w:sz w:val="24"/>
            <w:szCs w:val="24"/>
          </w:rPr>
          <w:t>12</w:t>
        </w:r>
        <w:r w:rsidRPr="00CA3013">
          <w:rPr>
            <w:rFonts w:ascii="Times New Roman" w:hAnsi="Times New Roman" w:cs="Times New Roman"/>
            <w:sz w:val="24"/>
            <w:szCs w:val="24"/>
          </w:rPr>
          <w:fldChar w:fldCharType="end"/>
        </w:r>
      </w:sdtContent>
    </w:sdt>
  </w:p>
  <w:p w:rsidR="004735E3" w:rsidRDefault="004735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 xml:space="preserve">Running head: </w:t>
    </w:r>
    <w:r>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079"/>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236A03">
          <w:rPr>
            <w:rFonts w:ascii="Times New Roman" w:hAnsi="Times New Roman" w:cs="Times New Roman"/>
            <w:noProof/>
            <w:sz w:val="24"/>
            <w:szCs w:val="24"/>
          </w:rPr>
          <w:t>1</w:t>
        </w:r>
        <w:r w:rsidRPr="00CA3013">
          <w:rPr>
            <w:rFonts w:ascii="Times New Roman" w:hAnsi="Times New Roman" w:cs="Times New Roman"/>
            <w:sz w:val="24"/>
            <w:szCs w:val="24"/>
          </w:rPr>
          <w:fldChar w:fldCharType="end"/>
        </w:r>
      </w:sdtContent>
    </w:sdt>
  </w:p>
  <w:p w:rsidR="00CA3013" w:rsidRDefault="00CA30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94051"/>
    <w:rsid w:val="00027D8D"/>
    <w:rsid w:val="00037B3F"/>
    <w:rsid w:val="00054812"/>
    <w:rsid w:val="00071A82"/>
    <w:rsid w:val="0013227E"/>
    <w:rsid w:val="00141132"/>
    <w:rsid w:val="001B0110"/>
    <w:rsid w:val="00236A03"/>
    <w:rsid w:val="002375B4"/>
    <w:rsid w:val="002653F4"/>
    <w:rsid w:val="0027472B"/>
    <w:rsid w:val="00294051"/>
    <w:rsid w:val="00296A21"/>
    <w:rsid w:val="002B60D8"/>
    <w:rsid w:val="002D47FD"/>
    <w:rsid w:val="00325B4B"/>
    <w:rsid w:val="00372263"/>
    <w:rsid w:val="00382658"/>
    <w:rsid w:val="003A3B29"/>
    <w:rsid w:val="004333A3"/>
    <w:rsid w:val="00441130"/>
    <w:rsid w:val="00444613"/>
    <w:rsid w:val="004735E3"/>
    <w:rsid w:val="004863EA"/>
    <w:rsid w:val="004E30D9"/>
    <w:rsid w:val="00510CD4"/>
    <w:rsid w:val="0056307C"/>
    <w:rsid w:val="00596AF6"/>
    <w:rsid w:val="005D759D"/>
    <w:rsid w:val="006242A1"/>
    <w:rsid w:val="006504AA"/>
    <w:rsid w:val="0067395A"/>
    <w:rsid w:val="00680F28"/>
    <w:rsid w:val="00694A62"/>
    <w:rsid w:val="006D50FE"/>
    <w:rsid w:val="00717E6E"/>
    <w:rsid w:val="008237F6"/>
    <w:rsid w:val="00833F37"/>
    <w:rsid w:val="0085032B"/>
    <w:rsid w:val="00865510"/>
    <w:rsid w:val="008C6230"/>
    <w:rsid w:val="008D59A5"/>
    <w:rsid w:val="008E1E27"/>
    <w:rsid w:val="00906C00"/>
    <w:rsid w:val="0098241F"/>
    <w:rsid w:val="00986F0A"/>
    <w:rsid w:val="00A50B15"/>
    <w:rsid w:val="00A94990"/>
    <w:rsid w:val="00AD2A69"/>
    <w:rsid w:val="00C6366F"/>
    <w:rsid w:val="00CA3013"/>
    <w:rsid w:val="00D5531D"/>
    <w:rsid w:val="00D70F22"/>
    <w:rsid w:val="00DE6585"/>
    <w:rsid w:val="00DF6F02"/>
    <w:rsid w:val="00E30161"/>
    <w:rsid w:val="00E40BAE"/>
    <w:rsid w:val="00E54482"/>
    <w:rsid w:val="00E54C57"/>
    <w:rsid w:val="00E639E7"/>
    <w:rsid w:val="00EB662F"/>
    <w:rsid w:val="00EC2EBC"/>
    <w:rsid w:val="00F1622E"/>
    <w:rsid w:val="00F7166C"/>
    <w:rsid w:val="00FF5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51"/>
  </w:style>
  <w:style w:type="paragraph" w:styleId="Heading1">
    <w:name w:val="heading 1"/>
    <w:basedOn w:val="Normal"/>
    <w:link w:val="Heading1Char"/>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A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65510"/>
    <w:rPr>
      <w:color w:val="0000FF" w:themeColor="hyperlink"/>
      <w:u w:val="single"/>
    </w:rPr>
  </w:style>
  <w:style w:type="paragraph" w:styleId="Header">
    <w:name w:val="header"/>
    <w:basedOn w:val="Normal"/>
    <w:link w:val="HeaderChar"/>
    <w:uiPriority w:val="99"/>
    <w:unhideWhenUsed/>
    <w:rsid w:val="0032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B4B"/>
  </w:style>
  <w:style w:type="paragraph" w:styleId="Footer">
    <w:name w:val="footer"/>
    <w:basedOn w:val="Normal"/>
    <w:link w:val="FooterChar"/>
    <w:uiPriority w:val="99"/>
    <w:semiHidden/>
    <w:unhideWhenUsed/>
    <w:rsid w:val="00325B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117708">
      <w:bodyDiv w:val="1"/>
      <w:marLeft w:val="0"/>
      <w:marRight w:val="0"/>
      <w:marTop w:val="0"/>
      <w:marBottom w:val="0"/>
      <w:divBdr>
        <w:top w:val="none" w:sz="0" w:space="0" w:color="auto"/>
        <w:left w:val="none" w:sz="0" w:space="0" w:color="auto"/>
        <w:bottom w:val="none" w:sz="0" w:space="0" w:color="auto"/>
        <w:right w:val="none" w:sz="0" w:space="0" w:color="auto"/>
      </w:divBdr>
    </w:div>
    <w:div w:id="11826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2086</TotalTime>
  <Pages>12</Pages>
  <Words>3031</Words>
  <Characters>17282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pc</cp:lastModifiedBy>
  <cp:revision>28</cp:revision>
  <dcterms:created xsi:type="dcterms:W3CDTF">2019-03-31T19:24:00Z</dcterms:created>
  <dcterms:modified xsi:type="dcterms:W3CDTF">2019-04-04T13:40:00Z</dcterms:modified>
</cp:coreProperties>
</file>